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CF" w:rsidRDefault="00386012">
      <w:pPr>
        <w:pStyle w:val="Standard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-74295</wp:posOffset>
                </wp:positionV>
                <wp:extent cx="5982335" cy="1226185"/>
                <wp:effectExtent l="0" t="0" r="0" b="0"/>
                <wp:wrapSquare wrapText="bothSides"/>
                <wp:docPr id="3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1226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9528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44"/>
                              <w:gridCol w:w="4584"/>
                            </w:tblGrid>
                            <w:tr w:rsidR="00EF60CF">
                              <w:trPr>
                                <w:trHeight w:val="906"/>
                              </w:trPr>
                              <w:tc>
                                <w:tcPr>
                                  <w:tcW w:w="4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F60CF" w:rsidRDefault="00450EA0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Unione Europea</w:t>
                                  </w:r>
                                </w:p>
                                <w:p w:rsidR="00EF60CF" w:rsidRDefault="00450EA0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30960" cy="623520"/>
                                        <wp:effectExtent l="0" t="0" r="2490" b="5130"/>
                                        <wp:docPr id="1" name="immagini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lum/>
                                                  <a:alphaModFix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0960" cy="623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F60CF" w:rsidRDefault="00450EA0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Fondo Sociale Europeo</w:t>
                                  </w:r>
                                </w:p>
                              </w:tc>
                              <w:tc>
                                <w:tcPr>
                                  <w:tcW w:w="4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F60CF" w:rsidRDefault="00EF60CF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F60CF" w:rsidRDefault="00450EA0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noProof/>
                                      <w:sz w:val="23"/>
                                      <w:szCs w:val="23"/>
                                    </w:rPr>
                                    <w:drawing>
                                      <wp:inline distT="0" distB="0" distL="0" distR="0">
                                        <wp:extent cx="1676519" cy="732239"/>
                                        <wp:effectExtent l="0" t="0" r="0" b="0"/>
                                        <wp:docPr id="2" name="immagini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6519" cy="732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F60CF">
                              <w:trPr>
                                <w:trHeight w:val="257"/>
                              </w:trPr>
                              <w:tc>
                                <w:tcPr>
                                  <w:tcW w:w="95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F60CF" w:rsidRDefault="00450EA0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Programma Operativo Regionale IT051PO003 FSE Campania</w:t>
                                  </w:r>
                                </w:p>
                              </w:tc>
                            </w:tr>
                          </w:tbl>
                          <w:p w:rsidR="00EF60CF" w:rsidRDefault="00450EA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9pt;margin-top:-5.85pt;width:471.05pt;height:96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" strokeweight=".06pt">
                <v:fill opacity="0"/>
                <v:path arrowok="t"/>
                <v:textbox inset="0,0,0,0">
                  <w:txbxContent>
                    <w:tbl>
                      <w:tblPr>
                        <w:tblW w:w="9528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44"/>
                        <w:gridCol w:w="4584"/>
                      </w:tblGrid>
                      <w:tr w:rsidR="00EF60CF">
                        <w:trPr>
                          <w:trHeight w:val="906"/>
                        </w:trPr>
                        <w:tc>
                          <w:tcPr>
                            <w:tcW w:w="4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F60CF" w:rsidRDefault="00450EA0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Unione Europea</w:t>
                            </w:r>
                          </w:p>
                          <w:p w:rsidR="00EF60CF" w:rsidRDefault="00450EA0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30960" cy="623520"/>
                                  <wp:effectExtent l="0" t="0" r="2490" b="5130"/>
                                  <wp:docPr id="1" name="immagini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960" cy="62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60CF" w:rsidRDefault="00450EA0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Fondo Sociale Europeo</w:t>
                            </w:r>
                          </w:p>
                        </w:tc>
                        <w:tc>
                          <w:tcPr>
                            <w:tcW w:w="4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F60CF" w:rsidRDefault="00EF60CF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F60CF" w:rsidRDefault="00450EA0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676519" cy="732239"/>
                                  <wp:effectExtent l="0" t="0" r="0" b="0"/>
                                  <wp:docPr id="2" name="immagini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519" cy="732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F60CF">
                        <w:trPr>
                          <w:trHeight w:val="257"/>
                        </w:trPr>
                        <w:tc>
                          <w:tcPr>
                            <w:tcW w:w="95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F60CF" w:rsidRDefault="00450EA0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Programma Operativo Regionale IT051PO003 FSE Campania</w:t>
                            </w:r>
                          </w:p>
                        </w:tc>
                      </w:tr>
                    </w:tbl>
                    <w:p w:rsidR="00EF60CF" w:rsidRDefault="00450EA0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539">
        <w:rPr>
          <w:b/>
          <w:bCs/>
          <w:i/>
          <w:iCs/>
          <w:sz w:val="18"/>
          <w:szCs w:val="18"/>
        </w:rPr>
        <w:tab/>
      </w:r>
    </w:p>
    <w:p w:rsidR="00EF60CF" w:rsidRDefault="00450EA0">
      <w:pPr>
        <w:pStyle w:val="Standard"/>
        <w:suppressAutoHyphens w:val="0"/>
        <w:ind w:firstLine="567"/>
        <w:jc w:val="center"/>
      </w:pPr>
      <w:r>
        <w:rPr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6840</wp:posOffset>
            </wp:positionH>
            <wp:positionV relativeFrom="paragraph">
              <wp:posOffset>86400</wp:posOffset>
            </wp:positionV>
            <wp:extent cx="794520" cy="723959"/>
            <wp:effectExtent l="0" t="0" r="5580" b="0"/>
            <wp:wrapNone/>
            <wp:docPr id="4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520" cy="7239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ISTITUTO  STATALE ISTRUZIONE SECONDARIA SUPERIORE</w:t>
      </w:r>
      <w:r>
        <w:rPr>
          <w:noProof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5485679</wp:posOffset>
            </wp:positionH>
            <wp:positionV relativeFrom="paragraph">
              <wp:posOffset>82440</wp:posOffset>
            </wp:positionV>
            <wp:extent cx="715680" cy="799560"/>
            <wp:effectExtent l="0" t="0" r="8220" b="540"/>
            <wp:wrapNone/>
            <wp:docPr id="5" name="immagini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9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60CF" w:rsidRDefault="00386012">
      <w:pPr>
        <w:pStyle w:val="Standard"/>
        <w:rPr>
          <w:vanish/>
          <w:sz w:val="22"/>
          <w:szCs w:val="22"/>
        </w:rPr>
      </w:pPr>
      <w:r>
        <w:rPr>
          <w:noProof/>
          <w:vanish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109855</wp:posOffset>
                </wp:positionV>
                <wp:extent cx="804545" cy="132715"/>
                <wp:effectExtent l="0" t="0" r="0" b="635"/>
                <wp:wrapSquare wrapText="bothSides"/>
                <wp:docPr id="7" name="Cornic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9866" w:type="dxa"/>
                              <w:tblInd w:w="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66"/>
                            </w:tblGrid>
                            <w:tr w:rsidR="00EF60CF">
                              <w:trPr>
                                <w:trHeight w:val="938"/>
                              </w:trPr>
                              <w:tc>
                                <w:tcPr>
                                  <w:tcW w:w="9866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EF60CF" w:rsidRDefault="00450EA0">
                                  <w:pPr>
                                    <w:pStyle w:val="Standard"/>
                                    <w:suppressAutoHyphens w:val="0"/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16760" cy="716760"/>
                                        <wp:effectExtent l="0" t="0" r="7140" b="7140"/>
                                        <wp:docPr id="6" name="immagini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lum/>
                                                  <a:alphaModFix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6760" cy="716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F60CF" w:rsidRDefault="00450EA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rnice2" o:spid="_x0000_s1027" type="#_x0000_t202" style="position:absolute;margin-left:-3.5pt;margin-top:8.65pt;width:63.35pt;height:10.4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" strokeweight=".06pt">
                <v:fill opacity="0"/>
                <v:path arrowok="t"/>
                <v:textbox inset="0,0,0,0">
                  <w:txbxContent>
                    <w:tbl>
                      <w:tblPr>
                        <w:tblW w:w="9866" w:type="dxa"/>
                        <w:tblInd w:w="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66"/>
                      </w:tblGrid>
                      <w:tr w:rsidR="00EF60CF">
                        <w:trPr>
                          <w:trHeight w:val="938"/>
                        </w:trPr>
                        <w:tc>
                          <w:tcPr>
                            <w:tcW w:w="9866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EF60CF" w:rsidRDefault="00450EA0">
                            <w:pPr>
                              <w:pStyle w:val="Standard"/>
                              <w:suppressAutoHyphens w:val="0"/>
                              <w:snapToGrid w:val="0"/>
                              <w:spacing w:line="276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760" cy="716760"/>
                                  <wp:effectExtent l="0" t="0" r="7140" b="7140"/>
                                  <wp:docPr id="6" name="immagini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6760" cy="71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EF60CF" w:rsidRDefault="00450EA0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60CF" w:rsidRDefault="00450EA0">
      <w:pPr>
        <w:pStyle w:val="Standard"/>
        <w:suppressAutoHyphens w:val="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“ O. CONTI ”</w:t>
      </w:r>
    </w:p>
    <w:p w:rsidR="00EF60CF" w:rsidRDefault="00450EA0">
      <w:pPr>
        <w:pStyle w:val="Standard"/>
        <w:suppressAutoHyphens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Via E. De Nicola; 6   -  81031  - AVERSA  (Ce)</w:t>
      </w:r>
    </w:p>
    <w:p w:rsidR="00EF60CF" w:rsidRDefault="00450EA0">
      <w:pPr>
        <w:pStyle w:val="Standard"/>
        <w:suppressAutoHyphens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Tel. (081) 8141345  -  Fax (O81) 8141043</w:t>
      </w:r>
    </w:p>
    <w:p w:rsidR="00EF60CF" w:rsidRDefault="00450EA0">
      <w:pPr>
        <w:pStyle w:val="Standard"/>
        <w:suppressAutoHyphens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Distretto Scolastico N. 15 - Cod. Fiscale:90030630611</w:t>
      </w:r>
    </w:p>
    <w:p w:rsidR="00EF60CF" w:rsidRDefault="002B41A5">
      <w:pPr>
        <w:pStyle w:val="Standard"/>
        <w:suppressAutoHyphens w:val="0"/>
        <w:jc w:val="center"/>
      </w:pPr>
      <w:hyperlink r:id="rId12" w:history="1">
        <w:r w:rsidR="00450EA0">
          <w:rPr>
            <w:rStyle w:val="Internetlink"/>
            <w:i/>
            <w:iCs/>
            <w:sz w:val="22"/>
            <w:szCs w:val="22"/>
          </w:rPr>
          <w:t xml:space="preserve">e-mail :  </w:t>
        </w:r>
      </w:hyperlink>
      <w:hyperlink r:id="rId13" w:history="1">
        <w:r w:rsidR="00450EA0">
          <w:rPr>
            <w:rStyle w:val="Internetlink"/>
            <w:i/>
            <w:iCs/>
            <w:sz w:val="22"/>
            <w:szCs w:val="22"/>
          </w:rPr>
          <w:t>ceis0280003@istruzione.it</w:t>
        </w:r>
      </w:hyperlink>
      <w:hyperlink r:id="rId14" w:history="1">
        <w:r w:rsidR="00450EA0">
          <w:rPr>
            <w:rStyle w:val="Internetlink"/>
            <w:i/>
            <w:iCs/>
            <w:sz w:val="22"/>
            <w:szCs w:val="22"/>
          </w:rPr>
          <w:t xml:space="preserve"> </w:t>
        </w:r>
      </w:hyperlink>
      <w:hyperlink r:id="rId15" w:history="1">
        <w:r w:rsidR="00450EA0">
          <w:rPr>
            <w:rStyle w:val="Internetlink"/>
            <w:i/>
            <w:iCs/>
            <w:sz w:val="22"/>
            <w:szCs w:val="22"/>
            <w:u w:val="none"/>
          </w:rPr>
          <w:t xml:space="preserve">      </w:t>
        </w:r>
        <w:r w:rsidR="00450EA0">
          <w:rPr>
            <w:rStyle w:val="Internetlink"/>
            <w:i/>
            <w:iCs/>
            <w:sz w:val="22"/>
            <w:szCs w:val="22"/>
            <w:u w:val="none"/>
          </w:rPr>
          <w:tab/>
        </w:r>
      </w:hyperlink>
      <w:hyperlink r:id="rId16" w:history="1">
        <w:r w:rsidR="00450EA0">
          <w:rPr>
            <w:rStyle w:val="Internetlink"/>
            <w:i/>
            <w:iCs/>
            <w:sz w:val="22"/>
            <w:szCs w:val="22"/>
          </w:rPr>
          <w:t xml:space="preserve">e-mail certificata :  </w:t>
        </w:r>
      </w:hyperlink>
      <w:hyperlink r:id="rId17" w:history="1">
        <w:r w:rsidR="00450EA0">
          <w:rPr>
            <w:rStyle w:val="Internetlink"/>
            <w:i/>
            <w:iCs/>
            <w:sz w:val="22"/>
            <w:szCs w:val="22"/>
          </w:rPr>
          <w:t>isissconti@pec.it</w:t>
        </w:r>
      </w:hyperlink>
    </w:p>
    <w:p w:rsidR="00EF60CF" w:rsidRDefault="002B41A5">
      <w:pPr>
        <w:pStyle w:val="Standard"/>
        <w:suppressAutoHyphens w:val="0"/>
        <w:jc w:val="center"/>
      </w:pPr>
      <w:hyperlink r:id="rId18" w:history="1">
        <w:r w:rsidR="00450EA0">
          <w:rPr>
            <w:rStyle w:val="Internetlink"/>
            <w:i/>
            <w:iCs/>
            <w:sz w:val="22"/>
            <w:szCs w:val="22"/>
          </w:rPr>
          <w:t xml:space="preserve">Internet: </w:t>
        </w:r>
      </w:hyperlink>
      <w:r w:rsidR="00450EA0">
        <w:rPr>
          <w:rStyle w:val="Internetlink"/>
        </w:rPr>
        <w:t>http://www.isisscontiaversa</w:t>
      </w:r>
    </w:p>
    <w:p w:rsidR="00EF60CF" w:rsidRDefault="00EF60CF">
      <w:pPr>
        <w:pStyle w:val="Standard"/>
        <w:suppressAutoHyphens w:val="0"/>
        <w:jc w:val="center"/>
      </w:pPr>
    </w:p>
    <w:tbl>
      <w:tblPr>
        <w:tblW w:w="9866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479"/>
        <w:gridCol w:w="25"/>
        <w:gridCol w:w="6821"/>
      </w:tblGrid>
      <w:tr w:rsidR="00EF60CF">
        <w:tc>
          <w:tcPr>
            <w:tcW w:w="154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Settembre 2016</w:t>
            </w:r>
          </w:p>
        </w:tc>
        <w:tc>
          <w:tcPr>
            <w:tcW w:w="1504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dei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9,00-11,00</w:t>
            </w:r>
          </w:p>
        </w:tc>
        <w:tc>
          <w:tcPr>
            <w:tcW w:w="682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extbody"/>
              <w:numPr>
                <w:ilvl w:val="0"/>
                <w:numId w:val="5"/>
              </w:numPr>
              <w:jc w:val="both"/>
            </w:pPr>
            <w:r>
              <w:t>Insediamento Collegio dei Docenti;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Designazione segretario verbalizzante, lettura e approvazione verbale precedente;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Calendario attività collegiali prupedutiche inizio anno scolastico;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Informazione nomine dei collaboratori e staff dirigenziale;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Ratifica scrutini integrativi anno scolastico 2015/2016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Calendario scolastico  regionale, proposte di adattamento;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Divisione anno scolastico in trimestri o quadrimestri;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 xml:space="preserve"> Designazione dei responsabili dei dipartimento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Delibera per adesione scuola a PON FSE, PON FESR, POR FSE, POR FERS, Scuole aperte, AREA a rischio, Progetti socrates-comenius, etwinning, accordi di rete,  polo qualità progetti regionali e nazionali;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Nomina componenti commissione elettorale;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Nomina docenti comitato di garanzia;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Delibera adesione eventi e manifestazioni;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Criteri  generali per l’organizzazione dell’alternanza scuola-lavoro;</w:t>
            </w:r>
          </w:p>
          <w:p w:rsidR="00EF60CF" w:rsidRDefault="00450EA0">
            <w:pPr>
              <w:pStyle w:val="Textbody"/>
              <w:numPr>
                <w:ilvl w:val="0"/>
                <w:numId w:val="4"/>
              </w:numPr>
              <w:jc w:val="both"/>
            </w:pPr>
            <w:r>
              <w:t>Comunicazioni D.S.</w:t>
            </w:r>
          </w:p>
          <w:p w:rsidR="00EF60CF" w:rsidRDefault="00EF60CF">
            <w:pPr>
              <w:pStyle w:val="Textbody"/>
              <w:jc w:val="both"/>
            </w:pPr>
          </w:p>
          <w:p w:rsidR="00EF60CF" w:rsidRDefault="00EF60CF">
            <w:pPr>
              <w:pStyle w:val="Textbody"/>
              <w:jc w:val="both"/>
            </w:pPr>
          </w:p>
          <w:p w:rsidR="00EF60CF" w:rsidRDefault="00EF60CF">
            <w:pPr>
              <w:pStyle w:val="Textbody"/>
              <w:jc w:val="both"/>
            </w:pPr>
          </w:p>
          <w:p w:rsidR="00EF60CF" w:rsidRDefault="00EF60CF">
            <w:pPr>
              <w:pStyle w:val="Textbody"/>
              <w:jc w:val="both"/>
            </w:pPr>
          </w:p>
          <w:p w:rsidR="00EF60CF" w:rsidRDefault="00EF60CF">
            <w:pPr>
              <w:pStyle w:val="Textbody"/>
              <w:jc w:val="both"/>
            </w:pPr>
          </w:p>
          <w:p w:rsidR="00EF60CF" w:rsidRDefault="00EF60CF">
            <w:pPr>
              <w:pStyle w:val="Textbody"/>
              <w:spacing w:after="0"/>
              <w:ind w:left="720" w:hanging="360"/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5/9/2016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Coordinatori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dei dipartimenti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STAFF DEL DIRIGENTE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extbody"/>
              <w:jc w:val="both"/>
            </w:pPr>
            <w:r>
              <w:lastRenderedPageBreak/>
              <w:t>INCONTRO INTEGRATO DI COORDINAMENTO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 Settembre 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Dipartimenti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Disciplinari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9,00-13,00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Revisione Programmazione;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Revisione  delle modalità di verifica, griglie e  criteri di valutazione;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Individuazione dei criteri di certificazione delle competenze di cui al Decreto Ministeriale n° 9 del 27/01/2010;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Individuazione delle modalità  e dei tempi di attuazione degli            interventi di recupero o sostegno;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Individuazione e predisposizione degli strumenti di analisi       della situazione  iniziale della classe (es. test d’ingresso) e dei criteri di adeguamento alla specifica realtà della singola classe degli obiettivi disciplinari generali stabiliti al punto 1.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Individuazione di temi pluri o multidisciplinari.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Partecipazioni a Olimpiadi e Gare .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Visite guidate, viaggi d'istruzione.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Programmazione disciplinare per il recupero.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Obiettivi trasversali di cittadinanza e costituzione,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Criteri generali per l’organizzazione d</w:t>
            </w:r>
            <w:r w:rsidR="007B593F">
              <w:rPr>
                <w:rFonts w:eastAsia="Times New Roman" w:cs="Times New Roman"/>
              </w:rPr>
              <w:t>e</w:t>
            </w:r>
            <w:r>
              <w:rPr>
                <w:rFonts w:eastAsia="Times New Roman" w:cs="Times New Roman"/>
              </w:rPr>
              <w:t>ll’alternanza scuola-lavoro;</w:t>
            </w:r>
          </w:p>
          <w:p w:rsidR="00EF60CF" w:rsidRDefault="00450EA0">
            <w:pPr>
              <w:pStyle w:val="Standard"/>
              <w:numPr>
                <w:ilvl w:val="0"/>
                <w:numId w:val="6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Repertori per i laboratori</w:t>
            </w:r>
          </w:p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386012" w:rsidTr="00386012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86012" w:rsidRDefault="00386012" w:rsidP="00AD219D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386012" w:rsidRDefault="00386012" w:rsidP="00AD219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Settembre</w:t>
            </w:r>
          </w:p>
          <w:p w:rsidR="00386012" w:rsidRDefault="00386012" w:rsidP="00AD219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86012" w:rsidRDefault="00386012" w:rsidP="00AD219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Gruppo</w:t>
            </w:r>
          </w:p>
          <w:p w:rsidR="00386012" w:rsidRDefault="00386012" w:rsidP="00AD219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  <w:p w:rsidR="00386012" w:rsidRDefault="00386012" w:rsidP="00AD219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9,30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86012" w:rsidRDefault="00386012" w:rsidP="00AD219D">
            <w:pPr>
              <w:pStyle w:val="Standard"/>
              <w:numPr>
                <w:ilvl w:val="0"/>
                <w:numId w:val="8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Analisi delle diagnosi funzionali;</w:t>
            </w:r>
          </w:p>
          <w:p w:rsidR="00386012" w:rsidRDefault="00386012" w:rsidP="00AD219D">
            <w:pPr>
              <w:pStyle w:val="Standard"/>
              <w:numPr>
                <w:ilvl w:val="0"/>
                <w:numId w:val="8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Preparazione del GLH.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7B593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50EA0">
              <w:rPr>
                <w:sz w:val="22"/>
                <w:szCs w:val="22"/>
              </w:rPr>
              <w:t xml:space="preserve"> Settembre 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dei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9,00-11,00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numPr>
                <w:ilvl w:val="0"/>
                <w:numId w:val="7"/>
              </w:numPr>
              <w:snapToGrid w:val="0"/>
              <w:ind w:left="720" w:hanging="360"/>
            </w:pPr>
            <w:r>
              <w:t>Lettura verbale precedente;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  <w:snapToGrid w:val="0"/>
              <w:ind w:left="720" w:hanging="360"/>
            </w:pPr>
            <w:r>
              <w:t>Organizzazione didattica prima settimana;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t>Esame della programmazione dei dipartimenti disciplinari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  <w:snapToGrid w:val="0"/>
              <w:ind w:left="720" w:hanging="360"/>
            </w:pPr>
            <w:r>
              <w:t>Proposte settimana dello studente e pausa didattica;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  <w:ind w:left="720" w:hanging="360"/>
            </w:pPr>
            <w:r>
              <w:t>Assegnazione docenti alle classi;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  <w:ind w:left="720" w:hanging="360"/>
            </w:pPr>
            <w:r>
              <w:t>Ratifica Nomina coordinatori di classe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</w:pPr>
            <w:r>
              <w:t>Direttive  del D.S. organizzative  e per la sicurezza;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</w:pPr>
            <w:r>
              <w:t>Criteri assegnazione credito formativo;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</w:pPr>
            <w:r>
              <w:t>Criteri assegnazione debito formativo;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</w:pPr>
            <w:r>
              <w:t xml:space="preserve"> Criteri ore eccedenti;</w:t>
            </w:r>
          </w:p>
          <w:p w:rsidR="00EF60CF" w:rsidRDefault="00450EA0">
            <w:pPr>
              <w:pStyle w:val="TableContents"/>
              <w:numPr>
                <w:ilvl w:val="0"/>
                <w:numId w:val="2"/>
              </w:numPr>
            </w:pPr>
            <w:r>
              <w:t>Comunicazioni D.S.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9/13/14 Settembre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 di classe</w:t>
            </w:r>
          </w:p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Insediamento componente docente;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Nomina segretario verbalizzante;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Piano delle attività disciplinari della classe con adeguamento degli obiettivi disciplinari alla singola classe;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programmazioni interdisciplinare per il recupero e per il sostegno : individuazione delle modalità  e dei tempi di attuazione degli            interventi di recupero o sostegno;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Individuazione Alunni con Bes;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Interventi compensativi e dispensativi DSA;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Individuazione e predisposizione degli strumenti di analisi della situazione  iniziale della classe (test d’ingresso);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criteri di valutazione intermedia e finale per la classe;  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Individuazione di temi pluri o multidisciplinari.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Partecipazioni a Olimpiadi,</w:t>
            </w:r>
            <w:r w:rsidR="00431C2E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gare  e manifestazioni.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Visite guidate, viaggi d'istruzione;</w:t>
            </w:r>
          </w:p>
          <w:p w:rsidR="00EF60CF" w:rsidRDefault="00450EA0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Obiettivi trasversali di cittadinanza e costituzione.</w:t>
            </w:r>
          </w:p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28/29/30/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Settembre 2016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e 4 Ottobre</w:t>
            </w:r>
          </w:p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 di classe</w:t>
            </w:r>
          </w:p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snapToGrid w:val="0"/>
            </w:pP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OTTOBRE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06/10/16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dei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15,30-16,30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snapToGrid w:val="0"/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ottobre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Assemblea di classe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(con la sola presenza del coordinatore)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numPr>
                <w:ilvl w:val="0"/>
                <w:numId w:val="10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Comunicazione dell’andamento didattico-disciplinare alle famiglie</w:t>
            </w:r>
          </w:p>
          <w:p w:rsidR="00EF60CF" w:rsidRDefault="00450EA0">
            <w:pPr>
              <w:pStyle w:val="Standard"/>
              <w:numPr>
                <w:ilvl w:val="0"/>
                <w:numId w:val="10"/>
              </w:numPr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Elezione della componente genitori nel Consiglio di classe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NOVEMBRE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Novembre 2016</w:t>
            </w:r>
          </w:p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 di classe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Novembre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Dipartimenti Disciplinari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15-16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Novembre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DICEMBRE</w:t>
            </w:r>
          </w:p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Dicembre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Scuola-Famiglia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16-18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Andamento didattico-disciplinare</w:t>
            </w:r>
          </w:p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dicembre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Scuola-Famiglia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 16-18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Andamento didattico-disciplinare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GENNAIO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gennaio</w:t>
            </w:r>
          </w:p>
          <w:p w:rsidR="00EF60CF" w:rsidRDefault="00450EA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479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16,00-18,00</w:t>
            </w:r>
          </w:p>
        </w:tc>
        <w:tc>
          <w:tcPr>
            <w:tcW w:w="6846" w:type="dxa"/>
            <w:gridSpan w:val="2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rPr>
                <w:sz w:val="22"/>
                <w:szCs w:val="22"/>
              </w:rPr>
            </w:pPr>
          </w:p>
          <w:p w:rsidR="00EF60CF" w:rsidRDefault="00EF60CF">
            <w:pPr>
              <w:pStyle w:val="TableContents"/>
              <w:rPr>
                <w:sz w:val="22"/>
                <w:szCs w:val="22"/>
              </w:rPr>
            </w:pPr>
          </w:p>
          <w:p w:rsidR="00EF60CF" w:rsidRDefault="00EF60CF">
            <w:pPr>
              <w:pStyle w:val="TableContents"/>
              <w:rPr>
                <w:sz w:val="22"/>
                <w:szCs w:val="22"/>
              </w:rPr>
            </w:pP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31/1/2013          CHIUSURA PRIMO QUDRIMESTRE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FEBBRAIO</w:t>
            </w:r>
          </w:p>
        </w:tc>
      </w:tr>
      <w:tr w:rsidR="00EF60CF">
        <w:trPr>
          <w:trHeight w:val="862"/>
        </w:trPr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1-2-3-6-7-8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Febbraio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classe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15,30-19,30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Scrutini I Quadrimestre</w:t>
            </w:r>
          </w:p>
        </w:tc>
      </w:tr>
      <w:tr w:rsidR="00EF60CF">
        <w:trPr>
          <w:trHeight w:val="862"/>
        </w:trPr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9 al 19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febbraio 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Pausa per i corsi di recupero in itinere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Febbraio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Incontri Scuola-</w:t>
            </w:r>
            <w:r>
              <w:rPr>
                <w:sz w:val="22"/>
                <w:szCs w:val="22"/>
              </w:rPr>
              <w:lastRenderedPageBreak/>
              <w:t>Famiglia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16-18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Risultati primo quadrimestre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Febbraio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Scuola-Famiglia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16-18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Risultati primo quadrimestre  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e 21 Febbraio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Prove di verifica per il recupero dei debiti per classi parallele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APRILE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Aprile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Scuola-Famiglia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16-18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Andamento didattico-disciplinare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Aprile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Scuola-Famiglia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16-18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Andamento didattico-disciplinare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MAGGIO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Maggio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Dipartimenti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Disciplinari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15-16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3-4-5-8-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 di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15,30-17-30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Standard"/>
              <w:snapToGrid w:val="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Maggio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dei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numPr>
                <w:ilvl w:val="0"/>
                <w:numId w:val="11"/>
              </w:numPr>
              <w:snapToGrid w:val="0"/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Maggio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classi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15,00-18,30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Stesura del "15 Maggio”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11/12/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15,00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Esame documentazione  esami preliminari candidati privatisti</w:t>
            </w:r>
          </w:p>
          <w:p w:rsidR="00EF60CF" w:rsidRDefault="00450EA0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Esami di Stato e privatisti  che chiedono l’ammissione alle classi II-II-IV e V.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</w:pPr>
            <w:r>
              <w:t>MESE DI GIUGNO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Giugno 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 classi V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16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Predisposizione e verifica della documentazione per gli Esami di Stato.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9-10-12-13-14 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Scrutini V,I, II, III e IV classi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Giugno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Collegio dei docenti</w:t>
            </w:r>
          </w:p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9,00-12,00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snapToGrid w:val="0"/>
              <w:ind w:left="720" w:hanging="360"/>
              <w:rPr>
                <w:rFonts w:eastAsia="Times New Roman" w:cs="Times New Roman"/>
              </w:rPr>
            </w:pP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09/07/17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Comitato di Valutazione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Valutazione dei docenti fine anno di prova</w:t>
            </w:r>
          </w:p>
        </w:tc>
      </w:tr>
      <w:tr w:rsidR="00EF60CF">
        <w:tc>
          <w:tcPr>
            <w:tcW w:w="1541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B5EA6">
              <w:rPr>
                <w:sz w:val="22"/>
                <w:szCs w:val="22"/>
              </w:rPr>
              <w:t>-29-30</w:t>
            </w:r>
            <w:r>
              <w:rPr>
                <w:sz w:val="22"/>
                <w:szCs w:val="22"/>
              </w:rPr>
              <w:t>-31/8/2017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Consigli di classe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450EA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Esami di recupero e scrutini</w:t>
            </w:r>
          </w:p>
        </w:tc>
      </w:tr>
      <w:tr w:rsidR="00EF60CF">
        <w:tc>
          <w:tcPr>
            <w:tcW w:w="9866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F60CF" w:rsidRDefault="00EF60C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EF60CF" w:rsidRDefault="00450EA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Il piano annuale delle attività e degli impegni collegiali può subire delle modifiche sia relativamente alle date che ai punti all'ordine del giorno.</w:t>
            </w:r>
          </w:p>
          <w:p w:rsidR="00EF60CF" w:rsidRDefault="00450EA0">
            <w:pPr>
              <w:pStyle w:val="TableContents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Le eventuali variazioni saranno, tempestivamente, comunicate ai docenti.</w:t>
            </w:r>
          </w:p>
        </w:tc>
      </w:tr>
    </w:tbl>
    <w:p w:rsidR="00EF60CF" w:rsidRDefault="00450EA0">
      <w:pPr>
        <w:pStyle w:val="Standard"/>
      </w:pPr>
      <w:r>
        <w:t>Aversa 5/9/2016</w:t>
      </w:r>
      <w:r w:rsidR="008B5EA6">
        <w:t xml:space="preserve">  </w:t>
      </w:r>
    </w:p>
    <w:sectPr w:rsidR="00EF60CF" w:rsidSect="00395020">
      <w:pgSz w:w="11905" w:h="16837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A5" w:rsidRDefault="002B41A5">
      <w:r>
        <w:separator/>
      </w:r>
    </w:p>
  </w:endnote>
  <w:endnote w:type="continuationSeparator" w:id="0">
    <w:p w:rsidR="002B41A5" w:rsidRDefault="002B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A5" w:rsidRDefault="002B41A5">
      <w:r>
        <w:rPr>
          <w:color w:val="000000"/>
        </w:rPr>
        <w:ptab w:relativeTo="margin" w:alignment="center" w:leader="none"/>
      </w:r>
    </w:p>
  </w:footnote>
  <w:footnote w:type="continuationSeparator" w:id="0">
    <w:p w:rsidR="002B41A5" w:rsidRDefault="002B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49C"/>
    <w:multiLevelType w:val="multilevel"/>
    <w:tmpl w:val="EE8AE89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BA61EDA"/>
    <w:multiLevelType w:val="multilevel"/>
    <w:tmpl w:val="9D94A34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61C671B"/>
    <w:multiLevelType w:val="multilevel"/>
    <w:tmpl w:val="ADE0EB4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8D457FD"/>
    <w:multiLevelType w:val="multilevel"/>
    <w:tmpl w:val="7E8AED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C3171E3"/>
    <w:multiLevelType w:val="multilevel"/>
    <w:tmpl w:val="C1B846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1E52227"/>
    <w:multiLevelType w:val="multilevel"/>
    <w:tmpl w:val="EEE456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82E4FBF"/>
    <w:multiLevelType w:val="multilevel"/>
    <w:tmpl w:val="50041E0C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E8F402E"/>
    <w:multiLevelType w:val="multilevel"/>
    <w:tmpl w:val="E33AD42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59C2052"/>
    <w:multiLevelType w:val="multilevel"/>
    <w:tmpl w:val="298EA7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F"/>
    <w:rsid w:val="002B41A5"/>
    <w:rsid w:val="00300141"/>
    <w:rsid w:val="00386012"/>
    <w:rsid w:val="00391539"/>
    <w:rsid w:val="00395020"/>
    <w:rsid w:val="00431C2E"/>
    <w:rsid w:val="00450EA0"/>
    <w:rsid w:val="004F746A"/>
    <w:rsid w:val="00536A7D"/>
    <w:rsid w:val="005A1656"/>
    <w:rsid w:val="007B593F"/>
    <w:rsid w:val="008B5EA6"/>
    <w:rsid w:val="008C5A35"/>
    <w:rsid w:val="00EF60CF"/>
    <w:rsid w:val="00F3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3BAFF-988E-4AB3-8B92-0D339A01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4">
    <w:name w:val="WW8Num14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A7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A7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ceis0280003@istruzione.it" TargetMode="External"/><Relationship Id="rId18" Type="http://schemas.openxmlformats.org/officeDocument/2006/relationships/hyperlink" Target="http://www.ipiacontiavers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ipiacontiaversa.it/" TargetMode="External"/><Relationship Id="rId17" Type="http://schemas.openxmlformats.org/officeDocument/2006/relationships/hyperlink" Target="mailto:isissconti@pec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iacontiaversa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ipiacontiaversa.it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piacontiavers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Raucci</dc:creator>
  <cp:lastModifiedBy>pasquale di chiara</cp:lastModifiedBy>
  <cp:revision>2</cp:revision>
  <cp:lastPrinted>2012-09-02T16:13:00Z</cp:lastPrinted>
  <dcterms:created xsi:type="dcterms:W3CDTF">2016-09-06T15:46:00Z</dcterms:created>
  <dcterms:modified xsi:type="dcterms:W3CDTF">2016-09-06T15:46:00Z</dcterms:modified>
</cp:coreProperties>
</file>